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0996" w14:textId="71C04EA7" w:rsidR="00FC2025" w:rsidRPr="00026F99" w:rsidRDefault="00FC2025" w:rsidP="00FC2025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222222"/>
          <w:lang w:val="en-AU" w:eastAsia="en-GB"/>
        </w:rPr>
        <w:t>Comparative Literature</w:t>
      </w:r>
    </w:p>
    <w:p w14:paraId="43AE2650" w14:textId="77777777" w:rsidR="00FC2025" w:rsidRPr="00026F99" w:rsidRDefault="00FC2025" w:rsidP="00FC2025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</w:p>
    <w:p w14:paraId="4EF8413A" w14:textId="60F5D71B" w:rsidR="00FC2025" w:rsidRPr="00026F99" w:rsidRDefault="00FC2025" w:rsidP="00FC20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lang w:val="en-AU" w:eastAsia="en-GB"/>
        </w:rPr>
      </w:pPr>
      <w:proofErr w:type="spellStart"/>
      <w:r w:rsidRPr="00026F99">
        <w:rPr>
          <w:rFonts w:ascii="Times New Roman" w:eastAsia="MS Gothic" w:hAnsi="Times New Roman" w:cs="Times New Roman"/>
          <w:color w:val="222222"/>
          <w:lang w:val="en-AU" w:eastAsia="en-GB"/>
        </w:rPr>
        <w:t>履修条件・注意事項</w:t>
      </w:r>
      <w:proofErr w:type="spellEnd"/>
      <w:r w:rsidRPr="00026F99">
        <w:rPr>
          <w:rFonts w:ascii="Times New Roman" w:eastAsia="Times New Roman" w:hAnsi="Times New Roman" w:cs="Times New Roman"/>
          <w:color w:val="222222"/>
          <w:lang w:val="en-AU" w:eastAsia="en-GB"/>
        </w:rPr>
        <w:t xml:space="preserve"> = Requirements for registration</w:t>
      </w:r>
    </w:p>
    <w:p w14:paraId="618C5DC2" w14:textId="34EA8FD2" w:rsidR="00FC2025" w:rsidRPr="00026F99" w:rsidRDefault="00FC2025" w:rsidP="00FC2025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</w:p>
    <w:p w14:paraId="30F0636C" w14:textId="77777777" w:rsidR="00FC2025" w:rsidRPr="00026F99" w:rsidRDefault="00FC2025" w:rsidP="00FC2025">
      <w:pPr>
        <w:rPr>
          <w:rFonts w:ascii="Times New Roman" w:eastAsia="Times New Roman" w:hAnsi="Times New Roman" w:cs="Times New Roman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Good English and an interest in literature.</w:t>
      </w:r>
    </w:p>
    <w:p w14:paraId="259C4295" w14:textId="77777777" w:rsidR="00FC2025" w:rsidRPr="00026F99" w:rsidRDefault="00FC2025" w:rsidP="00FC2025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</w:p>
    <w:p w14:paraId="24EB2A9C" w14:textId="368645C8" w:rsidR="00FC2025" w:rsidRPr="00026F99" w:rsidRDefault="00FC2025" w:rsidP="00FC20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lang w:val="en-AU" w:eastAsia="en-GB"/>
        </w:rPr>
      </w:pPr>
      <w:proofErr w:type="spellStart"/>
      <w:r w:rsidRPr="00026F99">
        <w:rPr>
          <w:rFonts w:ascii="Times New Roman" w:eastAsia="MS Gothic" w:hAnsi="Times New Roman" w:cs="Times New Roman"/>
          <w:color w:val="222222"/>
          <w:lang w:val="en-AU" w:eastAsia="en-GB"/>
        </w:rPr>
        <w:t>授業の目的</w:t>
      </w:r>
      <w:proofErr w:type="spellEnd"/>
      <w:r w:rsidRPr="00026F99">
        <w:rPr>
          <w:rFonts w:ascii="Times New Roman" w:eastAsia="Times New Roman" w:hAnsi="Times New Roman" w:cs="Times New Roman"/>
          <w:color w:val="222222"/>
          <w:lang w:val="en-AU" w:eastAsia="en-GB"/>
        </w:rPr>
        <w:t xml:space="preserve"> = Course purpose</w:t>
      </w:r>
    </w:p>
    <w:p w14:paraId="032ED3F6" w14:textId="39686073" w:rsidR="00FC2025" w:rsidRPr="00026F99" w:rsidRDefault="00FC2025" w:rsidP="00FC2025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</w:p>
    <w:p w14:paraId="26272BFF" w14:textId="6D4B225E" w:rsidR="005C7205" w:rsidRPr="00026F99" w:rsidRDefault="00FC2025" w:rsidP="005C7205">
      <w:pPr>
        <w:rPr>
          <w:rFonts w:ascii="Times New Roman" w:eastAsia="Times New Roman" w:hAnsi="Times New Roman" w:cs="Times New Roman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This course </w:t>
      </w:r>
      <w:r w:rsidR="005C7205"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aims to introduce students to a selection of literary works, from the early 19</w:t>
      </w:r>
      <w:r w:rsidR="005C7205" w:rsidRPr="00026F99">
        <w:rPr>
          <w:rFonts w:ascii="Times New Roman" w:eastAsia="Times New Roman" w:hAnsi="Times New Roman" w:cs="Times New Roman"/>
          <w:color w:val="2A2A2A"/>
          <w:shd w:val="clear" w:color="auto" w:fill="FFFFFF"/>
          <w:vertAlign w:val="superscript"/>
          <w:lang w:val="en-AU" w:eastAsia="en-GB"/>
        </w:rPr>
        <w:t>th</w:t>
      </w:r>
      <w:r w:rsidR="005C7205"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 Century to the early 21</w:t>
      </w:r>
      <w:r w:rsidR="005C7205" w:rsidRPr="00026F99">
        <w:rPr>
          <w:rFonts w:ascii="Times New Roman" w:eastAsia="Times New Roman" w:hAnsi="Times New Roman" w:cs="Times New Roman"/>
          <w:color w:val="2A2A2A"/>
          <w:shd w:val="clear" w:color="auto" w:fill="FFFFFF"/>
          <w:vertAlign w:val="superscript"/>
          <w:lang w:val="en-AU" w:eastAsia="en-GB"/>
        </w:rPr>
        <w:t>st</w:t>
      </w:r>
      <w:r w:rsidR="005C7205"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 Century, across various cultural and linguistic boundaries. Through close reading of various texts, students will discuss these works in relation to their unique socio-cultural contexts, </w:t>
      </w:r>
      <w:r w:rsidR="00026F99"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their narrative and stylistic composition, </w:t>
      </w:r>
      <w:r w:rsidR="005C7205"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as well as their </w:t>
      </w:r>
      <w:r w:rsidR="00026F99"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role</w:t>
      </w:r>
      <w:r w:rsidR="005C7205"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 as ‘world literature’.</w:t>
      </w:r>
      <w:r w:rsidR="00B73D90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 In addition, students will apply these principles through creative practice in writing poetry, prose, or creative non-fiction pieces.</w:t>
      </w:r>
      <w:r w:rsidR="003422A9" w:rsidRPr="003422A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 </w:t>
      </w:r>
      <w:r w:rsidR="003422A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At the end of this course, students will have a thorough understanding of multiple </w:t>
      </w:r>
      <w:r w:rsidR="003422A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creative </w:t>
      </w:r>
      <w:r w:rsidR="003422A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approaches to </w:t>
      </w:r>
      <w:r w:rsidR="003422A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writing and comprehending </w:t>
      </w:r>
      <w:r w:rsidR="003422A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literature, experience of close reading of a multitude of texts</w:t>
      </w:r>
      <w:r w:rsidR="003422A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, as well as practical creative skills for future practice.</w:t>
      </w:r>
    </w:p>
    <w:p w14:paraId="13AF4F5D" w14:textId="77777777" w:rsidR="005C7205" w:rsidRPr="00026F99" w:rsidRDefault="005C7205" w:rsidP="00FC2025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</w:p>
    <w:p w14:paraId="6CCE62A9" w14:textId="65BD6C7A" w:rsidR="00FC2025" w:rsidRPr="00026F99" w:rsidRDefault="00FC2025" w:rsidP="00FC20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lang w:val="en-AU" w:eastAsia="en-GB"/>
        </w:rPr>
      </w:pPr>
      <w:proofErr w:type="spellStart"/>
      <w:r w:rsidRPr="00026F99">
        <w:rPr>
          <w:rFonts w:ascii="Times New Roman" w:eastAsia="MS Gothic" w:hAnsi="Times New Roman" w:cs="Times New Roman"/>
          <w:color w:val="222222"/>
          <w:lang w:val="en-AU" w:eastAsia="en-GB"/>
        </w:rPr>
        <w:t>授業の内容・方法</w:t>
      </w:r>
      <w:proofErr w:type="spellEnd"/>
      <w:r w:rsidRPr="00026F99">
        <w:rPr>
          <w:rFonts w:ascii="Times New Roman" w:eastAsia="Times New Roman" w:hAnsi="Times New Roman" w:cs="Times New Roman"/>
          <w:color w:val="222222"/>
          <w:lang w:val="en-AU" w:eastAsia="en-GB"/>
        </w:rPr>
        <w:t xml:space="preserve"> = Content</w:t>
      </w:r>
    </w:p>
    <w:p w14:paraId="0F9517C4" w14:textId="696FF19C" w:rsidR="00FC2025" w:rsidRPr="00026F99" w:rsidRDefault="00FC2025" w:rsidP="00FC2025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</w:p>
    <w:p w14:paraId="59A31A05" w14:textId="6AE4E1FF" w:rsidR="00026F99" w:rsidRPr="00026F99" w:rsidRDefault="00026F99" w:rsidP="00627A89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444444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Introduction</w:t>
      </w:r>
    </w:p>
    <w:p w14:paraId="66E798E6" w14:textId="5B3927B9" w:rsidR="005C7205" w:rsidRPr="00026F99" w:rsidRDefault="005C7205" w:rsidP="00627A89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444444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 xml:space="preserve">Charles Dickens’ </w:t>
      </w:r>
      <w:r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 xml:space="preserve">Gin Shops </w:t>
      </w: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 xml:space="preserve">(1835) and </w:t>
      </w:r>
      <w:r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 xml:space="preserve">Bleak House </w:t>
      </w: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(1853) (extracts)</w:t>
      </w:r>
    </w:p>
    <w:p w14:paraId="6DB8D78F" w14:textId="01DCA153" w:rsidR="005C7205" w:rsidRPr="00026F99" w:rsidRDefault="002D2270" w:rsidP="00627A89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444444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Nikolai Gogol’s </w:t>
      </w:r>
      <w:r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>The Overcoat</w:t>
      </w: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 xml:space="preserve"> (1842)</w:t>
      </w:r>
      <w:r w:rsidR="005C7205"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 xml:space="preserve"> and </w:t>
      </w:r>
      <w:r w:rsidR="005C7205"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 xml:space="preserve">Dead Souls </w:t>
      </w:r>
      <w:r w:rsidR="005C7205"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(1842) (extracts)</w:t>
      </w:r>
    </w:p>
    <w:p w14:paraId="55BC6DE3" w14:textId="63D8A4C9" w:rsidR="005C7205" w:rsidRPr="00026F99" w:rsidRDefault="002D2270" w:rsidP="00627A89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444444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Herman Melville’s </w:t>
      </w:r>
      <w:r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>Bartleby, the Scrivener </w:t>
      </w: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(1853)</w:t>
      </w:r>
    </w:p>
    <w:p w14:paraId="25A07BC5" w14:textId="77777777" w:rsidR="005C7205" w:rsidRPr="00026F99" w:rsidRDefault="002D2270" w:rsidP="00627A89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444444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Anton Chekhov’s</w:t>
      </w:r>
      <w:r w:rsidR="009A7932"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 xml:space="preserve"> </w:t>
      </w:r>
      <w:r w:rsidR="009A7932"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>Lady with the Little Dog</w:t>
      </w:r>
      <w:r w:rsidR="005C7205"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 xml:space="preserve"> (1899)</w:t>
      </w:r>
    </w:p>
    <w:p w14:paraId="035C4C4B" w14:textId="69BEF3D6" w:rsidR="005C7205" w:rsidRPr="00026F99" w:rsidRDefault="002D2270" w:rsidP="00627A89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444444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Virginia Woolf’s </w:t>
      </w:r>
      <w:r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>An Unwritten Novel </w:t>
      </w: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(1920)</w:t>
      </w:r>
    </w:p>
    <w:p w14:paraId="5D9D50DA" w14:textId="7BE5CFEF" w:rsidR="00026F99" w:rsidRPr="00026F99" w:rsidRDefault="00026F99" w:rsidP="00627A89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444444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 xml:space="preserve">Jorge Luis Borges’ </w:t>
      </w:r>
      <w:r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 xml:space="preserve">The Library of Babel </w:t>
      </w: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(1941)</w:t>
      </w:r>
    </w:p>
    <w:p w14:paraId="07E4FB7E" w14:textId="64AA515F" w:rsidR="005C7205" w:rsidRPr="00026F99" w:rsidRDefault="002D2270" w:rsidP="00627A89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444444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Gabriel García Márquez’s </w:t>
      </w:r>
      <w:r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>A Very Old Man with Enormous Wings </w:t>
      </w: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(1955)</w:t>
      </w:r>
    </w:p>
    <w:p w14:paraId="6857F1C8" w14:textId="0753447E" w:rsidR="005C7205" w:rsidRPr="00026F99" w:rsidRDefault="002D2270" w:rsidP="00627A89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444444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 xml:space="preserve">Julio </w:t>
      </w:r>
      <w:proofErr w:type="spellStart"/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Cortázar’s</w:t>
      </w:r>
      <w:proofErr w:type="spellEnd"/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 </w:t>
      </w:r>
      <w:r w:rsidR="00026F99"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 xml:space="preserve">The </w:t>
      </w:r>
      <w:r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>Axolotl </w:t>
      </w: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(1968)</w:t>
      </w:r>
      <w:r w:rsidR="00026F99"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 xml:space="preserve"> and </w:t>
      </w:r>
      <w:r w:rsidR="00026F99"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 xml:space="preserve">Hopscotch </w:t>
      </w:r>
      <w:r w:rsidR="00026F99"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(1963)</w:t>
      </w:r>
      <w:r w:rsidR="00117330">
        <w:rPr>
          <w:rFonts w:ascii="Times New Roman" w:eastAsia="Times New Roman" w:hAnsi="Times New Roman" w:cs="Times New Roman"/>
          <w:color w:val="444444"/>
          <w:lang w:val="en-AU" w:eastAsia="en-GB"/>
        </w:rPr>
        <w:t xml:space="preserve"> (extracts)</w:t>
      </w:r>
    </w:p>
    <w:p w14:paraId="041412B4" w14:textId="5CC1A137" w:rsidR="005C7205" w:rsidRPr="00026F99" w:rsidRDefault="002D2270" w:rsidP="00627A89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444444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Saul Bellow’s </w:t>
      </w:r>
      <w:r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>A Silver Dish </w:t>
      </w: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 xml:space="preserve">(1978) </w:t>
      </w:r>
    </w:p>
    <w:p w14:paraId="00194368" w14:textId="45C72C12" w:rsidR="005C7205" w:rsidRPr="00026F99" w:rsidRDefault="002D2270" w:rsidP="00627A89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444444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Muriel Spark’s </w:t>
      </w:r>
      <w:r w:rsidR="00026F99"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 xml:space="preserve">Hanging Judge </w:t>
      </w:r>
      <w:r w:rsidR="00026F99"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 xml:space="preserve">(1995) and </w:t>
      </w:r>
      <w:r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 xml:space="preserve">The </w:t>
      </w:r>
      <w:r w:rsidR="005C7205"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 xml:space="preserve">Prime of Miss Jean Brodie </w:t>
      </w:r>
      <w:r w:rsidR="005C7205"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(1969)</w:t>
      </w:r>
      <w:r w:rsidR="00026F99"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 xml:space="preserve"> (extracts)</w:t>
      </w:r>
    </w:p>
    <w:p w14:paraId="318ED307" w14:textId="24C0599F" w:rsidR="005C7205" w:rsidRPr="00026F99" w:rsidRDefault="002D2270" w:rsidP="00627A89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444444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David Foster Wallace’s </w:t>
      </w:r>
      <w:r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>Good Old Neon</w:t>
      </w: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 (2001)</w:t>
      </w:r>
    </w:p>
    <w:p w14:paraId="3E3ECFD4" w14:textId="0825958B" w:rsidR="005C7205" w:rsidRPr="00026F99" w:rsidRDefault="002D2270" w:rsidP="00627A89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444444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Zadie Smith’s </w:t>
      </w:r>
      <w:r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>The Embassy of Cambodia</w:t>
      </w:r>
      <w:r w:rsidR="005C7205"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 xml:space="preserve"> </w:t>
      </w: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 xml:space="preserve">(2013) </w:t>
      </w:r>
    </w:p>
    <w:p w14:paraId="3968BFBA" w14:textId="77777777" w:rsidR="00177F92" w:rsidRDefault="002D2270" w:rsidP="00627A89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444444"/>
          <w:lang w:val="en-AU" w:eastAsia="en-GB"/>
        </w:rPr>
      </w:pPr>
      <w:proofErr w:type="spellStart"/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Roanna</w:t>
      </w:r>
      <w:proofErr w:type="spellEnd"/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 xml:space="preserve"> Gonsalves’ </w:t>
      </w:r>
      <w:r w:rsidRPr="00026F99">
        <w:rPr>
          <w:rFonts w:ascii="Times New Roman" w:eastAsia="Times New Roman" w:hAnsi="Times New Roman" w:cs="Times New Roman"/>
          <w:i/>
          <w:iCs/>
          <w:color w:val="444444"/>
          <w:lang w:val="en-AU" w:eastAsia="en-GB"/>
        </w:rPr>
        <w:t>Curry Muncher 2.0</w:t>
      </w: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 (2017)</w:t>
      </w:r>
      <w:r w:rsidR="00026F99"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 xml:space="preserve"> </w:t>
      </w:r>
    </w:p>
    <w:p w14:paraId="170AE227" w14:textId="767257C5" w:rsidR="002D2270" w:rsidRPr="00026F99" w:rsidRDefault="00026F99" w:rsidP="00627A89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444444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444444"/>
          <w:lang w:val="en-AU" w:eastAsia="en-GB"/>
        </w:rPr>
        <w:t>Conclusion.</w:t>
      </w:r>
    </w:p>
    <w:p w14:paraId="187D0A0F" w14:textId="77777777" w:rsidR="00FC2025" w:rsidRPr="00026F99" w:rsidRDefault="00FC2025" w:rsidP="00FC2025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</w:p>
    <w:p w14:paraId="44ABCBE1" w14:textId="45832855" w:rsidR="00FC2025" w:rsidRPr="00026F99" w:rsidRDefault="00FC2025" w:rsidP="00FC20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lang w:val="en-AU" w:eastAsia="en-GB"/>
        </w:rPr>
      </w:pPr>
      <w:proofErr w:type="spellStart"/>
      <w:r w:rsidRPr="00026F99">
        <w:rPr>
          <w:rFonts w:ascii="Times New Roman" w:eastAsia="MS Gothic" w:hAnsi="Times New Roman" w:cs="Times New Roman"/>
          <w:color w:val="222222"/>
          <w:lang w:val="en-AU" w:eastAsia="en-GB"/>
        </w:rPr>
        <w:t>教科書・テキスト</w:t>
      </w:r>
      <w:proofErr w:type="spellEnd"/>
      <w:r w:rsidRPr="00026F99">
        <w:rPr>
          <w:rFonts w:ascii="Times New Roman" w:eastAsia="Times New Roman" w:hAnsi="Times New Roman" w:cs="Times New Roman"/>
          <w:color w:val="222222"/>
          <w:lang w:val="en-AU" w:eastAsia="en-GB"/>
        </w:rPr>
        <w:t xml:space="preserve"> = Textbooks</w:t>
      </w:r>
    </w:p>
    <w:p w14:paraId="443878E8" w14:textId="763CB903" w:rsidR="00FC2025" w:rsidRPr="00026F99" w:rsidRDefault="00FC2025" w:rsidP="00FC2025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</w:p>
    <w:p w14:paraId="2ADAE744" w14:textId="6E9981C0" w:rsidR="00FC2025" w:rsidRPr="00026F99" w:rsidRDefault="00FC2025" w:rsidP="00FC2025">
      <w:pPr>
        <w:rPr>
          <w:rFonts w:ascii="Times New Roman" w:eastAsia="Times New Roman" w:hAnsi="Times New Roman" w:cs="Times New Roman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All reading will be in English</w:t>
      </w:r>
      <w:r w:rsid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, and all readings will be provided</w:t>
      </w:r>
      <w:r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. </w:t>
      </w:r>
      <w:r w:rsidR="00026F99"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Students are encouraged to </w:t>
      </w:r>
      <w:r w:rsid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read the works in advance, especially longer sections. </w:t>
      </w:r>
    </w:p>
    <w:p w14:paraId="1292926B" w14:textId="77777777" w:rsidR="00FC2025" w:rsidRPr="00026F99" w:rsidRDefault="00FC2025" w:rsidP="00FC2025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</w:p>
    <w:p w14:paraId="0DB95287" w14:textId="38DCBD04" w:rsidR="00FC2025" w:rsidRPr="00026F99" w:rsidRDefault="00FC2025" w:rsidP="00627A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lang w:val="en-AU" w:eastAsia="en-GB"/>
        </w:rPr>
      </w:pPr>
      <w:proofErr w:type="spellStart"/>
      <w:r w:rsidRPr="00026F99">
        <w:rPr>
          <w:rFonts w:ascii="Times New Roman" w:eastAsia="MS Gothic" w:hAnsi="Times New Roman" w:cs="Times New Roman"/>
          <w:color w:val="222222"/>
          <w:lang w:val="en-AU" w:eastAsia="en-GB"/>
        </w:rPr>
        <w:t>参考書</w:t>
      </w:r>
      <w:proofErr w:type="spellEnd"/>
      <w:r w:rsidRPr="00026F99">
        <w:rPr>
          <w:rFonts w:ascii="Times New Roman" w:eastAsia="Times New Roman" w:hAnsi="Times New Roman" w:cs="Times New Roman"/>
          <w:color w:val="222222"/>
          <w:lang w:val="en-AU" w:eastAsia="en-GB"/>
        </w:rPr>
        <w:t xml:space="preserve"> = References</w:t>
      </w:r>
    </w:p>
    <w:p w14:paraId="51728C37" w14:textId="667B46F7" w:rsidR="00627A89" w:rsidRPr="00026F99" w:rsidRDefault="00627A89" w:rsidP="00627A89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</w:p>
    <w:p w14:paraId="07A5F09A" w14:textId="4298AAF5" w:rsidR="008647A3" w:rsidRDefault="003422A9" w:rsidP="00627A89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  <w:r w:rsidRPr="004F3310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For further reading and overview, students would be advised to consult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 </w:t>
      </w:r>
      <w:r w:rsidRPr="00E33756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(note: this is not compulsory reading)</w:t>
      </w:r>
      <w:r w:rsidRPr="004F3310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:</w:t>
      </w:r>
      <w:r w:rsidRPr="004F3310">
        <w:rPr>
          <w:rFonts w:ascii="Times New Roman" w:eastAsia="Times New Roman" w:hAnsi="Times New Roman" w:cs="Times New Roman"/>
          <w:color w:val="2A2A2A"/>
          <w:lang w:val="en-AU" w:eastAsia="en-GB"/>
        </w:rPr>
        <w:br/>
      </w:r>
    </w:p>
    <w:p w14:paraId="31F8C201" w14:textId="5ADD347A" w:rsidR="008647A3" w:rsidRDefault="008647A3" w:rsidP="00627A89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  <w:proofErr w:type="spellStart"/>
      <w:r w:rsidRPr="008647A3">
        <w:rPr>
          <w:rFonts w:ascii="Times New Roman" w:eastAsia="Times New Roman" w:hAnsi="Times New Roman" w:cs="Times New Roman"/>
          <w:color w:val="222222"/>
          <w:lang w:val="en-AU" w:eastAsia="en-GB"/>
        </w:rPr>
        <w:t>Zepetnek</w:t>
      </w:r>
      <w:proofErr w:type="spellEnd"/>
      <w:r w:rsidRPr="008647A3">
        <w:rPr>
          <w:rFonts w:ascii="Times New Roman" w:eastAsia="Times New Roman" w:hAnsi="Times New Roman" w:cs="Times New Roman"/>
          <w:color w:val="222222"/>
          <w:lang w:val="en-AU" w:eastAsia="en-GB"/>
        </w:rPr>
        <w:t>, S., &amp; Mukherjee, T. (Eds.). (2014). Companion to Comparative Literature, World Literatures, and Comparative Cultural Studies. Foundation Books.</w:t>
      </w:r>
    </w:p>
    <w:p w14:paraId="71C6C39F" w14:textId="2F378152" w:rsidR="00026F99" w:rsidRPr="00026F99" w:rsidRDefault="00026F99" w:rsidP="00627A89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</w:p>
    <w:p w14:paraId="199FCC14" w14:textId="1E98ECF1" w:rsidR="00FC2025" w:rsidRPr="00026F99" w:rsidRDefault="00FC2025" w:rsidP="00627A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lang w:val="en-AU" w:eastAsia="en-GB"/>
        </w:rPr>
      </w:pPr>
      <w:proofErr w:type="spellStart"/>
      <w:r w:rsidRPr="00026F99">
        <w:rPr>
          <w:rFonts w:ascii="Times New Roman" w:eastAsia="MS Gothic" w:hAnsi="Times New Roman" w:cs="Times New Roman"/>
          <w:color w:val="222222"/>
          <w:lang w:val="en-AU" w:eastAsia="en-GB"/>
        </w:rPr>
        <w:t>受講生の自宅学習</w:t>
      </w:r>
      <w:proofErr w:type="spellEnd"/>
      <w:r w:rsidRPr="00026F99">
        <w:rPr>
          <w:rFonts w:ascii="Times New Roman" w:eastAsia="Times New Roman" w:hAnsi="Times New Roman" w:cs="Times New Roman"/>
          <w:color w:val="222222"/>
          <w:lang w:val="en-AU" w:eastAsia="en-GB"/>
        </w:rPr>
        <w:t xml:space="preserve"> = Preparation and Review</w:t>
      </w:r>
    </w:p>
    <w:p w14:paraId="47979E18" w14:textId="18C83C4D" w:rsidR="00627A89" w:rsidRPr="00026F99" w:rsidRDefault="00627A89" w:rsidP="00627A89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</w:p>
    <w:p w14:paraId="538F7528" w14:textId="4D5727D8" w:rsidR="00627A89" w:rsidRPr="00026F99" w:rsidRDefault="00025D73" w:rsidP="00627A89">
      <w:pPr>
        <w:rPr>
          <w:rFonts w:ascii="Times New Roman" w:eastAsia="Times New Roman" w:hAnsi="Times New Roman" w:cs="Times New Roman"/>
          <w:lang w:val="en-AU" w:eastAsia="en-GB"/>
        </w:rPr>
      </w:pPr>
      <w:r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Students </w:t>
      </w:r>
      <w:r w:rsidR="00F32F1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are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 advised to acquaint themselves with the set texts.</w:t>
      </w:r>
    </w:p>
    <w:p w14:paraId="54BE118A" w14:textId="77777777" w:rsidR="00627A89" w:rsidRPr="00026F99" w:rsidRDefault="00627A89" w:rsidP="00627A89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</w:p>
    <w:p w14:paraId="2264D63C" w14:textId="1E707D2D" w:rsidR="00FC2025" w:rsidRPr="00026F99" w:rsidRDefault="00FC2025" w:rsidP="00627A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lang w:val="en-AU" w:eastAsia="en-GB"/>
        </w:rPr>
      </w:pPr>
      <w:proofErr w:type="spellStart"/>
      <w:r w:rsidRPr="00026F99">
        <w:rPr>
          <w:rFonts w:ascii="Times New Roman" w:eastAsia="MS Gothic" w:hAnsi="Times New Roman" w:cs="Times New Roman"/>
          <w:color w:val="222222"/>
          <w:lang w:val="en-AU" w:eastAsia="en-GB"/>
        </w:rPr>
        <w:t>成績評価の方法と基準</w:t>
      </w:r>
      <w:proofErr w:type="spellEnd"/>
      <w:r w:rsidRPr="00026F99">
        <w:rPr>
          <w:rFonts w:ascii="Times New Roman" w:eastAsia="Times New Roman" w:hAnsi="Times New Roman" w:cs="Times New Roman"/>
          <w:color w:val="222222"/>
          <w:lang w:val="en-AU" w:eastAsia="en-GB"/>
        </w:rPr>
        <w:t xml:space="preserve"> = Evaluation</w:t>
      </w:r>
    </w:p>
    <w:p w14:paraId="09338780" w14:textId="18E1EE2D" w:rsidR="003422A9" w:rsidRDefault="003422A9" w:rsidP="00627A89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</w:p>
    <w:p w14:paraId="4018CD6A" w14:textId="68FE969A" w:rsidR="003422A9" w:rsidRPr="004F3310" w:rsidRDefault="003422A9" w:rsidP="003422A9">
      <w:pPr>
        <w:rPr>
          <w:rFonts w:ascii="Times New Roman" w:eastAsia="Times New Roman" w:hAnsi="Times New Roman" w:cs="Times New Roman"/>
          <w:lang w:val="en-AU" w:eastAsia="en-GB"/>
        </w:rPr>
      </w:pPr>
      <w:r w:rsidRPr="004F3310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Assessment will be via 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two</w:t>
      </w:r>
      <w:r w:rsidRPr="004F3310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 presentations 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(2 x 10%) </w:t>
      </w:r>
      <w:r w:rsidRPr="004F3310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and two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 </w:t>
      </w:r>
      <w:r w:rsidRPr="004F3310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essays 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or creative portfolios of poetry, prose, or creative non-fiction </w:t>
      </w:r>
      <w:r w:rsidRPr="004F3310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written in English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 (20% and 40% respectively)</w:t>
      </w:r>
      <w:r w:rsidRPr="004F3310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.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 An additional 20% is awarded for participation in class discussion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 and creative workshops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. Students are expected to write using correct English, and display a deep knowledge of 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creative writing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 theory 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and practice 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covered in class.</w:t>
      </w:r>
    </w:p>
    <w:p w14:paraId="2E7B026D" w14:textId="77777777" w:rsidR="003422A9" w:rsidRPr="00026F99" w:rsidRDefault="003422A9" w:rsidP="00627A89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</w:p>
    <w:p w14:paraId="117B93C4" w14:textId="77777777" w:rsidR="00FC2025" w:rsidRPr="00026F99" w:rsidRDefault="00FC2025" w:rsidP="00FC2025">
      <w:pPr>
        <w:rPr>
          <w:rFonts w:ascii="Times New Roman" w:eastAsia="Times New Roman" w:hAnsi="Times New Roman" w:cs="Times New Roman"/>
          <w:color w:val="222222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222222"/>
          <w:lang w:val="en-AU" w:eastAsia="en-GB"/>
        </w:rPr>
        <w:t xml:space="preserve">8. </w:t>
      </w:r>
      <w:proofErr w:type="spellStart"/>
      <w:r w:rsidRPr="00026F99">
        <w:rPr>
          <w:rFonts w:ascii="Times New Roman" w:eastAsia="MS Gothic" w:hAnsi="Times New Roman" w:cs="Times New Roman"/>
          <w:color w:val="222222"/>
          <w:lang w:val="en-AU" w:eastAsia="en-GB"/>
        </w:rPr>
        <w:t>連絡方法</w:t>
      </w:r>
      <w:proofErr w:type="spellEnd"/>
      <w:r w:rsidRPr="00026F99">
        <w:rPr>
          <w:rFonts w:ascii="Times New Roman" w:eastAsia="Times New Roman" w:hAnsi="Times New Roman" w:cs="Times New Roman"/>
          <w:color w:val="222222"/>
          <w:lang w:val="en-AU" w:eastAsia="en-GB"/>
        </w:rPr>
        <w:t xml:space="preserve"> = Contact information</w:t>
      </w:r>
    </w:p>
    <w:p w14:paraId="0C6DE9EB" w14:textId="384DFB9E" w:rsidR="00C22256" w:rsidRPr="00026F99" w:rsidRDefault="00E46253">
      <w:pPr>
        <w:rPr>
          <w:rFonts w:ascii="Times New Roman" w:hAnsi="Times New Roman" w:cs="Times New Roman"/>
        </w:rPr>
      </w:pPr>
    </w:p>
    <w:p w14:paraId="532D9680" w14:textId="6EA51D0D" w:rsidR="00627A89" w:rsidRPr="00026F99" w:rsidRDefault="00627A89" w:rsidP="00627A89">
      <w:pPr>
        <w:rPr>
          <w:rFonts w:ascii="Times New Roman" w:eastAsia="Times New Roman" w:hAnsi="Times New Roman" w:cs="Times New Roman"/>
          <w:lang w:val="en-AU" w:eastAsia="en-GB"/>
        </w:rPr>
      </w:pPr>
      <w:r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If you have any questions please email Dr. </w:t>
      </w:r>
      <w:r w:rsidR="00584CFC"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David Wright</w:t>
      </w:r>
      <w:r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 xml:space="preserve"> (Associate Professor, Graduate School of Humanities, Nagoya University) </w:t>
      </w:r>
      <w:r w:rsidR="00584CFC"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at davidthwright</w:t>
      </w:r>
      <w:r w:rsidRPr="00026F99">
        <w:rPr>
          <w:rFonts w:ascii="Times New Roman" w:eastAsia="Times New Roman" w:hAnsi="Times New Roman" w:cs="Times New Roman"/>
          <w:color w:val="2A2A2A"/>
          <w:shd w:val="clear" w:color="auto" w:fill="FFFFFF"/>
          <w:lang w:val="en-AU" w:eastAsia="en-GB"/>
        </w:rPr>
        <w:t>@gmail.com. This outline may be subject to change.</w:t>
      </w:r>
    </w:p>
    <w:p w14:paraId="22BA9FD6" w14:textId="77777777" w:rsidR="00627A89" w:rsidRPr="00026F99" w:rsidRDefault="00627A89">
      <w:pPr>
        <w:rPr>
          <w:rFonts w:ascii="Times New Roman" w:hAnsi="Times New Roman" w:cs="Times New Roman"/>
        </w:rPr>
      </w:pPr>
    </w:p>
    <w:sectPr w:rsidR="00627A89" w:rsidRPr="00026F99" w:rsidSect="001C7A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1EB6"/>
    <w:multiLevelType w:val="hybridMultilevel"/>
    <w:tmpl w:val="9E3C0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018"/>
    <w:multiLevelType w:val="hybridMultilevel"/>
    <w:tmpl w:val="D862B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25"/>
    <w:rsid w:val="00025D73"/>
    <w:rsid w:val="00026F99"/>
    <w:rsid w:val="000E3F54"/>
    <w:rsid w:val="00117330"/>
    <w:rsid w:val="001435DE"/>
    <w:rsid w:val="00177F92"/>
    <w:rsid w:val="001C7A9B"/>
    <w:rsid w:val="002D2270"/>
    <w:rsid w:val="003422A9"/>
    <w:rsid w:val="004272F2"/>
    <w:rsid w:val="00445D77"/>
    <w:rsid w:val="004E6143"/>
    <w:rsid w:val="00584CFC"/>
    <w:rsid w:val="005C5C21"/>
    <w:rsid w:val="005C7205"/>
    <w:rsid w:val="00627A89"/>
    <w:rsid w:val="008647A3"/>
    <w:rsid w:val="00915301"/>
    <w:rsid w:val="009A7932"/>
    <w:rsid w:val="009E6340"/>
    <w:rsid w:val="00B41E8A"/>
    <w:rsid w:val="00B73D90"/>
    <w:rsid w:val="00C04EED"/>
    <w:rsid w:val="00C1025C"/>
    <w:rsid w:val="00E21EC6"/>
    <w:rsid w:val="00E40F62"/>
    <w:rsid w:val="00E46253"/>
    <w:rsid w:val="00F32F19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55F49"/>
  <w14:defaultImageDpi w14:val="32767"/>
  <w15:chartTrackingRefBased/>
  <w15:docId w15:val="{C23C7706-94C1-B141-9A36-D6263141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2025"/>
  </w:style>
  <w:style w:type="paragraph" w:styleId="ListParagraph">
    <w:name w:val="List Paragraph"/>
    <w:basedOn w:val="Normal"/>
    <w:uiPriority w:val="34"/>
    <w:qFormat/>
    <w:rsid w:val="00FC20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2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Emphasis">
    <w:name w:val="Emphasis"/>
    <w:basedOn w:val="DefaultParagraphFont"/>
    <w:uiPriority w:val="20"/>
    <w:qFormat/>
    <w:rsid w:val="002D2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0570">
          <w:marLeft w:val="0"/>
          <w:marRight w:val="0"/>
          <w:marTop w:val="0"/>
          <w:marBottom w:val="0"/>
          <w:divBdr>
            <w:top w:val="single" w:sz="18" w:space="4" w:color="006FCA"/>
            <w:left w:val="single" w:sz="18" w:space="4" w:color="006FCA"/>
            <w:bottom w:val="single" w:sz="18" w:space="4" w:color="006FCA"/>
            <w:right w:val="single" w:sz="18" w:space="4" w:color="006FCA"/>
          </w:divBdr>
          <w:divsChild>
            <w:div w:id="7015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2495</Characters>
  <Application>Microsoft Office Word</Application>
  <DocSecurity>0</DocSecurity>
  <Lines>38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davidthwright@gmail.com</dc:creator>
  <cp:keywords/>
  <dc:description/>
  <cp:lastModifiedBy>davidthwright@gmail.com</cp:lastModifiedBy>
  <cp:revision>2</cp:revision>
  <dcterms:created xsi:type="dcterms:W3CDTF">2021-01-17T06:43:00Z</dcterms:created>
  <dcterms:modified xsi:type="dcterms:W3CDTF">2021-01-17T06:43:00Z</dcterms:modified>
</cp:coreProperties>
</file>